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1298" w14:textId="77777777" w:rsidR="00934D42" w:rsidRDefault="00934D42" w:rsidP="00BE6BBE">
      <w:pPr>
        <w:jc w:val="center"/>
        <w:rPr>
          <w:b/>
          <w:bCs/>
        </w:rPr>
      </w:pPr>
    </w:p>
    <w:p w14:paraId="6B4844DE" w14:textId="5D81834D" w:rsidR="005854E7" w:rsidRDefault="00934D42" w:rsidP="005854E7">
      <w:pPr>
        <w:jc w:val="both"/>
      </w:pPr>
      <w:r>
        <w:rPr>
          <w:bCs/>
        </w:rPr>
        <w:t xml:space="preserve">The </w:t>
      </w:r>
      <w:r w:rsidRPr="00934D42">
        <w:rPr>
          <w:bCs/>
        </w:rPr>
        <w:t>Alliance for Continuous Democratic Governance (ACDG)</w:t>
      </w:r>
      <w:r>
        <w:rPr>
          <w:bCs/>
        </w:rPr>
        <w:t xml:space="preserve"> has conducted a survey on the performance of President Nana Addo </w:t>
      </w:r>
      <w:r w:rsidR="00B1385C">
        <w:rPr>
          <w:bCs/>
        </w:rPr>
        <w:t>Dankwa Akufo-Addo i</w:t>
      </w:r>
      <w:r w:rsidR="00914AB9">
        <w:rPr>
          <w:bCs/>
        </w:rPr>
        <w:t xml:space="preserve">n the Coronavirus era in Ghana. </w:t>
      </w:r>
      <w:r w:rsidR="00B1385C">
        <w:rPr>
          <w:bCs/>
        </w:rPr>
        <w:t>According to the report copied to the front deck of Coverghana.com News, the survey was conducted between Monday, 6</w:t>
      </w:r>
      <w:r w:rsidR="00B1385C" w:rsidRPr="00B1385C">
        <w:rPr>
          <w:bCs/>
          <w:vertAlign w:val="superscript"/>
        </w:rPr>
        <w:t>th</w:t>
      </w:r>
      <w:r w:rsidR="00C75A7C">
        <w:rPr>
          <w:bCs/>
        </w:rPr>
        <w:t xml:space="preserve"> April, 2020 and</w:t>
      </w:r>
      <w:r w:rsidR="00B1385C">
        <w:rPr>
          <w:bCs/>
        </w:rPr>
        <w:t xml:space="preserve"> Wednesday, 8</w:t>
      </w:r>
      <w:r w:rsidR="00B1385C" w:rsidRPr="00B1385C">
        <w:rPr>
          <w:bCs/>
          <w:vertAlign w:val="superscript"/>
        </w:rPr>
        <w:t>th</w:t>
      </w:r>
      <w:r w:rsidR="00914AB9">
        <w:rPr>
          <w:bCs/>
        </w:rPr>
        <w:t xml:space="preserve"> April, 2020 </w:t>
      </w:r>
      <w:r w:rsidR="00B1385C">
        <w:rPr>
          <w:bCs/>
        </w:rPr>
        <w:t>via google</w:t>
      </w:r>
      <w:r w:rsidR="005854E7">
        <w:rPr>
          <w:bCs/>
        </w:rPr>
        <w:t xml:space="preserve"> </w:t>
      </w:r>
      <w:r w:rsidR="005854E7">
        <w:t>form and circulated across WhatsApp platforms within Greater Accra, Eastern, Savanah, Western, Ashanti and Central regions. The survey recorded</w:t>
      </w:r>
      <w:r w:rsidR="005854E7" w:rsidRPr="006E0658">
        <w:t xml:space="preserve"> a total participation of </w:t>
      </w:r>
      <w:r w:rsidR="005854E7">
        <w:t>2,669</w:t>
      </w:r>
      <w:r w:rsidR="005854E7" w:rsidRPr="006E0658">
        <w:t xml:space="preserve"> with a valid </w:t>
      </w:r>
      <w:r w:rsidR="005854E7">
        <w:t>response</w:t>
      </w:r>
      <w:r w:rsidR="005854E7" w:rsidRPr="006E0658">
        <w:t xml:space="preserve"> of </w:t>
      </w:r>
      <w:r w:rsidR="005854E7">
        <w:t>2,66</w:t>
      </w:r>
      <w:r w:rsidR="005854E7" w:rsidRPr="006E0658">
        <w:t>5</w:t>
      </w:r>
      <w:r w:rsidR="005854E7">
        <w:t>, representing 99.85%</w:t>
      </w:r>
      <w:r w:rsidR="005854E7" w:rsidRPr="006E0658">
        <w:t>.</w:t>
      </w:r>
      <w:r w:rsidR="005854E7">
        <w:t xml:space="preserve"> </w:t>
      </w:r>
    </w:p>
    <w:p w14:paraId="2614937B" w14:textId="70248A52" w:rsidR="00914AB9" w:rsidRDefault="005854E7" w:rsidP="00914AB9">
      <w:pPr>
        <w:jc w:val="both"/>
      </w:pPr>
      <w:bookmarkStart w:id="0" w:name="_GoBack"/>
      <w:bookmarkEnd w:id="0"/>
      <w:r>
        <w:t xml:space="preserve">According to the Lead Researchers, </w:t>
      </w:r>
      <w:r w:rsidRPr="005854E7">
        <w:rPr>
          <w:bCs/>
        </w:rPr>
        <w:t>Mercy Afumwaa M. Boateng</w:t>
      </w:r>
      <w:r>
        <w:t xml:space="preserve"> t</w:t>
      </w:r>
      <w:r w:rsidR="00914AB9">
        <w:t xml:space="preserve">his is the second work of </w:t>
      </w:r>
      <w:r w:rsidR="00914AB9" w:rsidRPr="00FA4479">
        <w:rPr>
          <w:b/>
          <w:bCs/>
        </w:rPr>
        <w:t>Alliance for</w:t>
      </w:r>
      <w:r w:rsidR="00914AB9">
        <w:rPr>
          <w:b/>
          <w:bCs/>
        </w:rPr>
        <w:t xml:space="preserve"> Continuous </w:t>
      </w:r>
      <w:r w:rsidR="00914AB9" w:rsidRPr="00FA4479">
        <w:rPr>
          <w:b/>
          <w:bCs/>
        </w:rPr>
        <w:t>Democratic Governance</w:t>
      </w:r>
      <w:r w:rsidR="00914AB9">
        <w:rPr>
          <w:b/>
          <w:bCs/>
        </w:rPr>
        <w:t xml:space="preserve"> (ACDG)</w:t>
      </w:r>
      <w:r w:rsidR="00914AB9">
        <w:t xml:space="preserve">, a pressure group dedicated to projecting the voice of the unheard, as far as this pandemic is concerned. </w:t>
      </w:r>
    </w:p>
    <w:p w14:paraId="47B4E863" w14:textId="557FAAA5" w:rsidR="00934D42" w:rsidRPr="00934D42" w:rsidRDefault="00934D42" w:rsidP="00934D42">
      <w:pPr>
        <w:jc w:val="center"/>
        <w:rPr>
          <w:bCs/>
        </w:rPr>
      </w:pPr>
    </w:p>
    <w:p w14:paraId="701356F9" w14:textId="77777777" w:rsidR="00934D42" w:rsidRDefault="00934D42" w:rsidP="00BE6BBE">
      <w:pPr>
        <w:jc w:val="center"/>
        <w:rPr>
          <w:b/>
          <w:bCs/>
        </w:rPr>
      </w:pPr>
    </w:p>
    <w:p w14:paraId="63272716" w14:textId="77777777" w:rsidR="00934D42" w:rsidRDefault="00934D42" w:rsidP="00BE6BBE">
      <w:pPr>
        <w:jc w:val="center"/>
        <w:rPr>
          <w:b/>
          <w:bCs/>
        </w:rPr>
      </w:pPr>
    </w:p>
    <w:p w14:paraId="241037F6" w14:textId="24776B3B" w:rsidR="00036459" w:rsidRDefault="007C621C" w:rsidP="00BE6BBE">
      <w:pPr>
        <w:jc w:val="center"/>
        <w:rPr>
          <w:b/>
          <w:bCs/>
        </w:rPr>
      </w:pPr>
      <w:r>
        <w:rPr>
          <w:b/>
          <w:bCs/>
        </w:rPr>
        <w:t xml:space="preserve">GOVERNMENT`S PERFORMANCE </w:t>
      </w:r>
      <w:r w:rsidR="005C54D8">
        <w:rPr>
          <w:b/>
          <w:bCs/>
        </w:rPr>
        <w:t xml:space="preserve">IN </w:t>
      </w:r>
      <w:r w:rsidR="004C50A6" w:rsidRPr="00BE6BBE">
        <w:rPr>
          <w:b/>
          <w:bCs/>
        </w:rPr>
        <w:t xml:space="preserve">COVID-19 RESPONSE </w:t>
      </w:r>
      <w:r w:rsidR="00BE6BBE" w:rsidRPr="00BE6BBE">
        <w:rPr>
          <w:b/>
          <w:bCs/>
        </w:rPr>
        <w:t>OPINION POLL</w:t>
      </w:r>
    </w:p>
    <w:p w14:paraId="63DA0E5A" w14:textId="4560035F" w:rsidR="00CE7D29" w:rsidRDefault="00CE7D29" w:rsidP="00BE6BBE">
      <w:pPr>
        <w:jc w:val="center"/>
        <w:rPr>
          <w:b/>
          <w:bCs/>
        </w:rPr>
      </w:pPr>
      <w:r>
        <w:rPr>
          <w:b/>
          <w:bCs/>
        </w:rPr>
        <w:t>BY</w:t>
      </w:r>
    </w:p>
    <w:p w14:paraId="0F6E1BE5" w14:textId="0B9FB76A" w:rsidR="00CE7D29" w:rsidRDefault="00CE7D29" w:rsidP="00BE6BBE">
      <w:pPr>
        <w:jc w:val="center"/>
        <w:rPr>
          <w:b/>
          <w:bCs/>
        </w:rPr>
      </w:pPr>
      <w:r>
        <w:rPr>
          <w:b/>
          <w:bCs/>
        </w:rPr>
        <w:t>ALLIANCE FOR CONTINUOUS DEMOCRATIC GOVERNANCE(ACDG)</w:t>
      </w:r>
    </w:p>
    <w:p w14:paraId="094C255E" w14:textId="1E4EA212" w:rsidR="00CE7D29" w:rsidRDefault="00CE7D29" w:rsidP="00BE6BBE">
      <w:pPr>
        <w:jc w:val="center"/>
        <w:rPr>
          <w:b/>
          <w:bCs/>
        </w:rPr>
      </w:pPr>
      <w:r>
        <w:rPr>
          <w:b/>
          <w:bCs/>
        </w:rPr>
        <w:t>APRIL 2020</w:t>
      </w:r>
    </w:p>
    <w:p w14:paraId="49AC5EE3" w14:textId="5C6E1879" w:rsidR="00CE7D29" w:rsidRDefault="00CE7D29" w:rsidP="00BE6BBE">
      <w:pPr>
        <w:jc w:val="center"/>
        <w:rPr>
          <w:b/>
          <w:bCs/>
        </w:rPr>
      </w:pPr>
      <w:r>
        <w:rPr>
          <w:b/>
          <w:bCs/>
        </w:rPr>
        <w:t>ACCRA</w:t>
      </w:r>
    </w:p>
    <w:p w14:paraId="06ADCD6D" w14:textId="2ADF0016" w:rsidR="00CE7D29" w:rsidRDefault="00CE7D29" w:rsidP="00BE6BBE">
      <w:pPr>
        <w:jc w:val="center"/>
        <w:rPr>
          <w:b/>
          <w:bCs/>
        </w:rPr>
      </w:pPr>
      <w:r>
        <w:rPr>
          <w:b/>
          <w:bCs/>
        </w:rPr>
        <w:t>LEAD RESEARCHER:</w:t>
      </w:r>
      <w:r w:rsidR="00A2521B">
        <w:rPr>
          <w:b/>
          <w:bCs/>
        </w:rPr>
        <w:t xml:space="preserve"> MERCY AFUMWAA M</w:t>
      </w:r>
      <w:r w:rsidR="00110B57">
        <w:rPr>
          <w:b/>
          <w:bCs/>
        </w:rPr>
        <w:t>.</w:t>
      </w:r>
      <w:r w:rsidR="00A2521B">
        <w:rPr>
          <w:b/>
          <w:bCs/>
        </w:rPr>
        <w:t xml:space="preserve"> BOATENG</w:t>
      </w:r>
    </w:p>
    <w:p w14:paraId="1223D1DA" w14:textId="7EEFD017" w:rsidR="00A2521B" w:rsidRDefault="00320C68" w:rsidP="00BE6BBE">
      <w:pPr>
        <w:jc w:val="center"/>
        <w:rPr>
          <w:b/>
          <w:bCs/>
        </w:rPr>
      </w:pPr>
      <w:r>
        <w:rPr>
          <w:b/>
          <w:bCs/>
        </w:rPr>
        <w:t>Mobile</w:t>
      </w:r>
      <w:r w:rsidR="00A2521B">
        <w:rPr>
          <w:b/>
          <w:bCs/>
        </w:rPr>
        <w:t>: 0209402820</w:t>
      </w:r>
    </w:p>
    <w:p w14:paraId="5CA87366" w14:textId="2467CE73" w:rsidR="00CE7D29" w:rsidRDefault="00320C68" w:rsidP="00320C68">
      <w:pPr>
        <w:jc w:val="center"/>
        <w:rPr>
          <w:b/>
          <w:bCs/>
        </w:rPr>
      </w:pPr>
      <w:r>
        <w:rPr>
          <w:b/>
          <w:bCs/>
        </w:rPr>
        <w:t>WhatsApp: 0209402820</w:t>
      </w:r>
    </w:p>
    <w:p w14:paraId="3D67DAD5" w14:textId="37B17D6B" w:rsidR="00320C68" w:rsidRDefault="00320C68" w:rsidP="00320C68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r>
        <w:rPr>
          <w:rStyle w:val="gi"/>
        </w:rPr>
        <w:t>mercyboateng.am@gmail.com</w:t>
      </w:r>
    </w:p>
    <w:p w14:paraId="4355281E" w14:textId="77777777" w:rsidR="00320C68" w:rsidRDefault="00320C68" w:rsidP="00BE6BBE">
      <w:pPr>
        <w:jc w:val="center"/>
        <w:rPr>
          <w:b/>
          <w:bCs/>
        </w:rPr>
      </w:pPr>
    </w:p>
    <w:p w14:paraId="4CCF838B" w14:textId="2F2541AC" w:rsidR="00A60CCC" w:rsidRDefault="00A60CCC" w:rsidP="00BE6BBE">
      <w:pPr>
        <w:jc w:val="center"/>
        <w:rPr>
          <w:b/>
          <w:bCs/>
        </w:rPr>
      </w:pPr>
      <w:r>
        <w:rPr>
          <w:b/>
          <w:bCs/>
        </w:rPr>
        <w:t>Executive Summary</w:t>
      </w:r>
    </w:p>
    <w:p w14:paraId="1D7557C2" w14:textId="2A841374" w:rsidR="009C45AA" w:rsidRDefault="009C45AA" w:rsidP="00CE7D29">
      <w:pPr>
        <w:jc w:val="both"/>
      </w:pPr>
      <w:r w:rsidRPr="006E0658">
        <w:t>The</w:t>
      </w:r>
      <w:r>
        <w:t xml:space="preserve"> </w:t>
      </w:r>
      <w:r w:rsidRPr="006E0658">
        <w:t xml:space="preserve">survey </w:t>
      </w:r>
      <w:r>
        <w:t xml:space="preserve">was </w:t>
      </w:r>
      <w:r w:rsidRPr="006E0658">
        <w:t xml:space="preserve">conducted between Monday, </w:t>
      </w:r>
      <w:bookmarkStart w:id="1" w:name="_Hlk37320183"/>
      <w:r w:rsidR="005044D3">
        <w:t>April 6</w:t>
      </w:r>
      <w:r w:rsidRPr="006E0658">
        <w:t>, 20</w:t>
      </w:r>
      <w:r>
        <w:t>20</w:t>
      </w:r>
      <w:r w:rsidRPr="006E0658">
        <w:t xml:space="preserve"> to</w:t>
      </w:r>
      <w:r>
        <w:t xml:space="preserve"> </w:t>
      </w:r>
      <w:r w:rsidR="005044D3">
        <w:t>Wednesday</w:t>
      </w:r>
      <w:r w:rsidRPr="006E0658">
        <w:t>,</w:t>
      </w:r>
      <w:r w:rsidR="005044D3">
        <w:t xml:space="preserve"> April </w:t>
      </w:r>
      <w:r w:rsidR="00D42547">
        <w:t>8</w:t>
      </w:r>
      <w:r w:rsidRPr="006E0658">
        <w:t>, 20</w:t>
      </w:r>
      <w:r>
        <w:t>20</w:t>
      </w:r>
      <w:bookmarkEnd w:id="1"/>
      <w:r w:rsidRPr="006E0658">
        <w:t xml:space="preserve"> </w:t>
      </w:r>
      <w:r>
        <w:t>via google form and circulated across WhatsApp platforms within Greater Accra, Eastern, Savanah, Western, Ashanti and Central regions.</w:t>
      </w:r>
    </w:p>
    <w:p w14:paraId="4A359182" w14:textId="609FEB40" w:rsidR="006E7C64" w:rsidRDefault="006E7C64" w:rsidP="00CE7D29">
      <w:pPr>
        <w:jc w:val="both"/>
      </w:pPr>
      <w:r>
        <w:t>95% of Ghanaians believe the proposal by John Dramani Mahama for the absorption /reduction of electricity and mobile data costs is very essential and must be considered and implement</w:t>
      </w:r>
      <w:r w:rsidR="009F44BD">
        <w:t xml:space="preserve">ed </w:t>
      </w:r>
      <w:r>
        <w:t>by government now.</w:t>
      </w:r>
    </w:p>
    <w:p w14:paraId="1733EFED" w14:textId="7E1FB4E6" w:rsidR="006E7C64" w:rsidRDefault="006E7C64" w:rsidP="00CE7D29">
      <w:pPr>
        <w:jc w:val="both"/>
      </w:pPr>
      <w:r>
        <w:t>About 52% of Ghanaians believe government is handling livelihood measures poorly while 48% think government is handling it well.</w:t>
      </w:r>
    </w:p>
    <w:p w14:paraId="5B46B63F" w14:textId="7965412F" w:rsidR="00FD6775" w:rsidRDefault="006E7C64" w:rsidP="00944DAD">
      <w:pPr>
        <w:jc w:val="both"/>
      </w:pPr>
      <w:r>
        <w:t xml:space="preserve">67% of Ghanaians believe </w:t>
      </w:r>
      <w:r w:rsidR="009F44BD">
        <w:t xml:space="preserve">that the package </w:t>
      </w:r>
      <w:r>
        <w:t xml:space="preserve"> to health workers </w:t>
      </w:r>
      <w:r w:rsidR="009F44BD">
        <w:t xml:space="preserve">is </w:t>
      </w:r>
      <w:r>
        <w:t xml:space="preserve">discriminatory among health workers and 89% of this respondents want government to give higher allowance to frontline </w:t>
      </w:r>
      <w:r>
        <w:lastRenderedPageBreak/>
        <w:t xml:space="preserve">workers and give less to other health workers  with the underlying principle that </w:t>
      </w:r>
      <w:r w:rsidR="00944DAD">
        <w:t>all health workers should be motivated as all of them are exposed to risk but in graduated manner.</w:t>
      </w:r>
    </w:p>
    <w:p w14:paraId="6474CCF7" w14:textId="77777777" w:rsidR="00FD6775" w:rsidRDefault="00FD6775"/>
    <w:p w14:paraId="1FFF5001" w14:textId="4E638734" w:rsidR="00BE6BBE" w:rsidRDefault="00BE6BBE">
      <w:pPr>
        <w:rPr>
          <w:b/>
          <w:bCs/>
        </w:rPr>
      </w:pPr>
      <w:r w:rsidRPr="00BE6BBE">
        <w:rPr>
          <w:b/>
          <w:bCs/>
        </w:rPr>
        <w:t xml:space="preserve">Background </w:t>
      </w:r>
    </w:p>
    <w:p w14:paraId="16B5F9AB" w14:textId="5BE484B7" w:rsidR="00944035" w:rsidRDefault="00524902" w:rsidP="00641E63">
      <w:pPr>
        <w:ind w:firstLine="720"/>
        <w:jc w:val="both"/>
      </w:pPr>
      <w:r>
        <w:t xml:space="preserve">After our earlier publication which focused on the </w:t>
      </w:r>
      <w:r w:rsidR="00743A5C">
        <w:t xml:space="preserve">activities of political parties in the fight against the novel Covid-19, </w:t>
      </w:r>
      <w:r w:rsidR="00173CAE">
        <w:t>it has become necessary</w:t>
      </w:r>
      <w:r w:rsidR="00DE1890">
        <w:t xml:space="preserve"> to assess the opinion of the public on the performance of the government in response to the </w:t>
      </w:r>
      <w:r w:rsidR="00E97C31">
        <w:t xml:space="preserve">Covid-19 pandemic. </w:t>
      </w:r>
      <w:r w:rsidR="00064A14">
        <w:t xml:space="preserve">Our continuous monitoring of the </w:t>
      </w:r>
      <w:r w:rsidR="00173CAE">
        <w:t xml:space="preserve">reactions by the </w:t>
      </w:r>
      <w:r w:rsidR="00064A14">
        <w:t xml:space="preserve">public in </w:t>
      </w:r>
      <w:r w:rsidR="00175E4B">
        <w:t>the</w:t>
      </w:r>
      <w:r w:rsidR="00173CAE">
        <w:t xml:space="preserve"> mainstream </w:t>
      </w:r>
      <w:r w:rsidR="00175E4B">
        <w:t xml:space="preserve"> </w:t>
      </w:r>
      <w:r w:rsidR="00064A14">
        <w:t>media</w:t>
      </w:r>
      <w:r w:rsidR="00A0381E">
        <w:t xml:space="preserve"> and on various social media platforms </w:t>
      </w:r>
      <w:r w:rsidR="00E91A80">
        <w:t>revealed some mixed feelings about the government`s response, especially after the president of the Repub</w:t>
      </w:r>
      <w:r w:rsidR="00C660B2">
        <w:t xml:space="preserve">lic of Ghana, His Excellency Nana Addo Dankwa Akuffo-Addo </w:t>
      </w:r>
      <w:r w:rsidR="00173CAE">
        <w:t>announced in</w:t>
      </w:r>
      <w:r w:rsidR="00C660B2">
        <w:t xml:space="preserve"> his </w:t>
      </w:r>
      <w:r w:rsidR="00173CAE">
        <w:t>5t</w:t>
      </w:r>
      <w:r w:rsidR="00C660B2">
        <w:t xml:space="preserve">h address to the nation on the </w:t>
      </w:r>
      <w:r w:rsidR="009E5585">
        <w:t>novel pandemic and measures put in place to curtail it.</w:t>
      </w:r>
      <w:r w:rsidR="00064A14">
        <w:t xml:space="preserve"> </w:t>
      </w:r>
      <w:r w:rsidR="009F0006">
        <w:t>In response to th</w:t>
      </w:r>
      <w:r w:rsidR="001B24B7">
        <w:t xml:space="preserve">is, we conduct this </w:t>
      </w:r>
      <w:r w:rsidR="00E6303A">
        <w:t>poll</w:t>
      </w:r>
      <w:r w:rsidR="00304D20">
        <w:t xml:space="preserve"> </w:t>
      </w:r>
      <w:r w:rsidR="00BD7757">
        <w:t xml:space="preserve">(COVID-19 </w:t>
      </w:r>
      <w:r w:rsidR="001B24B7">
        <w:t xml:space="preserve">Response </w:t>
      </w:r>
      <w:r w:rsidR="00BD7757">
        <w:t xml:space="preserve">Poll) </w:t>
      </w:r>
      <w:r w:rsidR="001B24B7">
        <w:t xml:space="preserve">to </w:t>
      </w:r>
      <w:r w:rsidR="00304D20">
        <w:t xml:space="preserve">assesses the opinion of the public on the </w:t>
      </w:r>
      <w:r w:rsidR="0095336C">
        <w:t xml:space="preserve">government`s response to </w:t>
      </w:r>
      <w:r w:rsidR="00304D20">
        <w:t xml:space="preserve">the </w:t>
      </w:r>
      <w:r w:rsidR="00887725">
        <w:t>novel Covid-19 so far.</w:t>
      </w:r>
      <w:r w:rsidR="002A6CE3">
        <w:t xml:space="preserve"> </w:t>
      </w:r>
    </w:p>
    <w:p w14:paraId="48FA9E83" w14:textId="1319A365" w:rsidR="00EB50CC" w:rsidRDefault="00887725" w:rsidP="00641E63">
      <w:pPr>
        <w:ind w:firstLine="720"/>
        <w:jc w:val="both"/>
      </w:pPr>
      <w:r>
        <w:t xml:space="preserve">This </w:t>
      </w:r>
      <w:r w:rsidR="007B189E">
        <w:t xml:space="preserve">is the second work of </w:t>
      </w:r>
      <w:r w:rsidR="00AC24FE" w:rsidRPr="00FA4479">
        <w:rPr>
          <w:b/>
          <w:bCs/>
        </w:rPr>
        <w:t>Alliance for</w:t>
      </w:r>
      <w:r w:rsidR="00E6303A">
        <w:rPr>
          <w:b/>
          <w:bCs/>
        </w:rPr>
        <w:t xml:space="preserve"> Continuous </w:t>
      </w:r>
      <w:r w:rsidR="00E6303A" w:rsidRPr="00FA4479">
        <w:rPr>
          <w:b/>
          <w:bCs/>
        </w:rPr>
        <w:t>Democratic</w:t>
      </w:r>
      <w:r w:rsidR="00AC24FE" w:rsidRPr="00FA4479">
        <w:rPr>
          <w:b/>
          <w:bCs/>
        </w:rPr>
        <w:t xml:space="preserve"> </w:t>
      </w:r>
      <w:r w:rsidR="00E6303A" w:rsidRPr="00FA4479">
        <w:rPr>
          <w:b/>
          <w:bCs/>
        </w:rPr>
        <w:t>Governance</w:t>
      </w:r>
      <w:r w:rsidR="00E6303A">
        <w:rPr>
          <w:b/>
          <w:bCs/>
        </w:rPr>
        <w:t xml:space="preserve"> (ACDG)</w:t>
      </w:r>
      <w:r w:rsidR="00CE4115">
        <w:t xml:space="preserve">, a pressure group dedicated to projecting the voice of the </w:t>
      </w:r>
      <w:r w:rsidR="00641E63">
        <w:t>unheard</w:t>
      </w:r>
      <w:r w:rsidR="007B189E">
        <w:t>, as far as this pande</w:t>
      </w:r>
      <w:r w:rsidR="00284705">
        <w:t>mic is concerned</w:t>
      </w:r>
      <w:r w:rsidR="00641E63">
        <w:t xml:space="preserve">. </w:t>
      </w:r>
      <w:r w:rsidR="006E0658" w:rsidRPr="006E0658">
        <w:t>The</w:t>
      </w:r>
      <w:r w:rsidR="006E0658">
        <w:t xml:space="preserve"> </w:t>
      </w:r>
      <w:r w:rsidR="006E0658" w:rsidRPr="006E0658">
        <w:t xml:space="preserve">survey </w:t>
      </w:r>
      <w:r w:rsidR="00D8579C">
        <w:t xml:space="preserve">was </w:t>
      </w:r>
      <w:r w:rsidR="006E0658" w:rsidRPr="006E0658">
        <w:t xml:space="preserve">conducted between Monday, </w:t>
      </w:r>
      <w:r w:rsidR="00284705" w:rsidRPr="00284705">
        <w:t>April 6, 2020 to Wednesday, April 8, 2020</w:t>
      </w:r>
      <w:r w:rsidR="006E0658" w:rsidRPr="006E0658">
        <w:t xml:space="preserve"> </w:t>
      </w:r>
      <w:r w:rsidR="005079AC">
        <w:t xml:space="preserve">via google form and circulated across WhatsApp platforms </w:t>
      </w:r>
      <w:r w:rsidR="00C529C3">
        <w:t xml:space="preserve">within Greater Accra, </w:t>
      </w:r>
      <w:r w:rsidR="00E6303A">
        <w:t xml:space="preserve">Eastern, Savanah, </w:t>
      </w:r>
      <w:r w:rsidR="00C529C3">
        <w:t xml:space="preserve">Western, Ashanti </w:t>
      </w:r>
      <w:r w:rsidR="00EC3F46">
        <w:t>and Central region</w:t>
      </w:r>
      <w:r w:rsidR="00E6303A">
        <w:t>s</w:t>
      </w:r>
      <w:r w:rsidR="00EC3F46">
        <w:t xml:space="preserve">. </w:t>
      </w:r>
      <w:r w:rsidR="00350CED">
        <w:t>The survey recorded</w:t>
      </w:r>
      <w:r w:rsidR="006E0658" w:rsidRPr="006E0658">
        <w:t xml:space="preserve"> a total participation of </w:t>
      </w:r>
      <w:r w:rsidR="00284705">
        <w:t>2</w:t>
      </w:r>
      <w:r w:rsidR="00E6303A">
        <w:t>,</w:t>
      </w:r>
      <w:r w:rsidR="00D6108A">
        <w:t>669</w:t>
      </w:r>
      <w:r w:rsidR="006E0658" w:rsidRPr="006E0658">
        <w:t xml:space="preserve"> with a valid </w:t>
      </w:r>
      <w:r w:rsidR="00365498">
        <w:t>response</w:t>
      </w:r>
      <w:r w:rsidR="006E0658" w:rsidRPr="006E0658">
        <w:t xml:space="preserve"> of </w:t>
      </w:r>
      <w:r w:rsidR="00D6108A">
        <w:t>2</w:t>
      </w:r>
      <w:r w:rsidR="00E6303A">
        <w:t>,</w:t>
      </w:r>
      <w:r w:rsidR="00D6108A">
        <w:t>66</w:t>
      </w:r>
      <w:r w:rsidR="006E0658" w:rsidRPr="006E0658">
        <w:t>5</w:t>
      </w:r>
      <w:r w:rsidR="000B15B7">
        <w:t>, representing 99.8</w:t>
      </w:r>
      <w:r w:rsidR="00462608">
        <w:t>5</w:t>
      </w:r>
      <w:r w:rsidR="00ED28F9">
        <w:t>%</w:t>
      </w:r>
      <w:r w:rsidR="006E0658" w:rsidRPr="006E0658">
        <w:t>.</w:t>
      </w:r>
      <w:r w:rsidR="00AC24FE">
        <w:t xml:space="preserve"> </w:t>
      </w:r>
    </w:p>
    <w:p w14:paraId="436C1695" w14:textId="408F49DA" w:rsidR="00C87B1E" w:rsidRPr="00EE14EA" w:rsidRDefault="00C87B1E" w:rsidP="00C87B1E">
      <w:pPr>
        <w:jc w:val="both"/>
        <w:rPr>
          <w:b/>
          <w:bCs/>
        </w:rPr>
      </w:pPr>
      <w:r w:rsidRPr="00EE14EA">
        <w:rPr>
          <w:b/>
          <w:bCs/>
        </w:rPr>
        <w:t>Results</w:t>
      </w:r>
    </w:p>
    <w:p w14:paraId="32AC4783" w14:textId="68C444CF" w:rsidR="000A6ABD" w:rsidRDefault="00EE14EA" w:rsidP="00D8579C">
      <w:pPr>
        <w:jc w:val="both"/>
      </w:pPr>
      <w:r>
        <w:tab/>
        <w:t xml:space="preserve">The following sections present the results from the survey. It is organized based on the </w:t>
      </w:r>
      <w:r w:rsidR="002829E8">
        <w:t xml:space="preserve">questions as presented in the data collection instrument. </w:t>
      </w:r>
    </w:p>
    <w:p w14:paraId="4C909B5B" w14:textId="77777777" w:rsidR="00173CAE" w:rsidRDefault="00173CAE" w:rsidP="00D8579C">
      <w:pPr>
        <w:jc w:val="both"/>
      </w:pPr>
    </w:p>
    <w:p w14:paraId="4B75B0FB" w14:textId="03BD23EA" w:rsidR="00F2323D" w:rsidRPr="003C1682" w:rsidRDefault="00D27068" w:rsidP="00D8579C">
      <w:pPr>
        <w:jc w:val="both"/>
        <w:rPr>
          <w:b/>
          <w:bCs/>
        </w:rPr>
      </w:pPr>
      <w:r>
        <w:rPr>
          <w:b/>
          <w:bCs/>
        </w:rPr>
        <w:t>Government`s Overall Response to</w:t>
      </w:r>
      <w:r w:rsidR="00F2323D" w:rsidRPr="003C1682">
        <w:rPr>
          <w:b/>
          <w:bCs/>
        </w:rPr>
        <w:t xml:space="preserve"> the Novel Covid-19</w:t>
      </w:r>
    </w:p>
    <w:p w14:paraId="5CB4098A" w14:textId="39AF29DA" w:rsidR="00217D60" w:rsidRDefault="00217D60" w:rsidP="00D8579C">
      <w:pPr>
        <w:jc w:val="both"/>
      </w:pPr>
      <w:r>
        <w:tab/>
        <w:t>Th</w:t>
      </w:r>
      <w:r w:rsidR="00561589">
        <w:t xml:space="preserve">is section assessed the opinion of the public on the overall </w:t>
      </w:r>
      <w:r w:rsidR="00A56095">
        <w:t xml:space="preserve">response of the Government to the </w:t>
      </w:r>
      <w:r>
        <w:t xml:space="preserve">novel </w:t>
      </w:r>
      <w:r w:rsidR="003C1682">
        <w:t xml:space="preserve">pandemic. From the result, </w:t>
      </w:r>
      <w:r w:rsidR="00E32E85">
        <w:t xml:space="preserve">majority of the respondents </w:t>
      </w:r>
      <w:r w:rsidR="00DD1515">
        <w:t xml:space="preserve">(51.63%) </w:t>
      </w:r>
      <w:r w:rsidR="00E32E85">
        <w:t xml:space="preserve">indicated that the government`s response to the </w:t>
      </w:r>
      <w:r w:rsidR="00DD1515">
        <w:t>Covis-19 is poor.</w:t>
      </w:r>
      <w:r w:rsidR="007B108A">
        <w:t xml:space="preserve"> This result fall</w:t>
      </w:r>
      <w:r w:rsidR="00330382">
        <w:t>s</w:t>
      </w:r>
      <w:r w:rsidR="007B108A">
        <w:t xml:space="preserve"> in line with the outcome of </w:t>
      </w:r>
      <w:r w:rsidR="00150894">
        <w:t>the s</w:t>
      </w:r>
      <w:r w:rsidR="00330382">
        <w:t>imilar</w:t>
      </w:r>
      <w:r w:rsidR="00150894">
        <w:t xml:space="preserve"> </w:t>
      </w:r>
      <w:r w:rsidR="002750E7">
        <w:t>poll</w:t>
      </w:r>
      <w:r w:rsidR="00150894">
        <w:t xml:space="preserve"> conducted by CNN International on the response of the United State Government to the Covid-19 pandemic </w:t>
      </w:r>
      <w:r w:rsidR="00410A2C">
        <w:t xml:space="preserve">in </w:t>
      </w:r>
      <w:r w:rsidR="006D7E03">
        <w:t xml:space="preserve">which 57% of Americans </w:t>
      </w:r>
      <w:r w:rsidR="00410A2C">
        <w:t>indicated that th</w:t>
      </w:r>
      <w:r w:rsidR="0094621C">
        <w:t>e government performed poorly.</w:t>
      </w:r>
      <w:r w:rsidR="007B108A">
        <w:t xml:space="preserve"> </w:t>
      </w:r>
      <w:r w:rsidR="00DC6E24">
        <w:t>This result is presented in Table 1.</w:t>
      </w:r>
    </w:p>
    <w:p w14:paraId="517E7DB8" w14:textId="0AC9D5FB" w:rsidR="00DC6E24" w:rsidRPr="00187161" w:rsidRDefault="005A7DB0" w:rsidP="00187161">
      <w:pPr>
        <w:spacing w:after="0"/>
        <w:jc w:val="both"/>
        <w:rPr>
          <w:i/>
          <w:iCs/>
        </w:rPr>
      </w:pPr>
      <w:r>
        <w:t xml:space="preserve">Table 1: </w:t>
      </w:r>
      <w:r w:rsidR="004721E2">
        <w:rPr>
          <w:i/>
          <w:iCs/>
        </w:rPr>
        <w:t xml:space="preserve">Overall Response of the Government to the </w:t>
      </w:r>
      <w:r w:rsidRPr="00187161">
        <w:rPr>
          <w:i/>
          <w:iCs/>
        </w:rPr>
        <w:t>Covid-19</w:t>
      </w:r>
      <w:r w:rsidR="004721E2">
        <w:rPr>
          <w:i/>
          <w:iCs/>
        </w:rPr>
        <w:t xml:space="preserve"> pandemic in Ghana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33"/>
      </w:tblGrid>
      <w:tr w:rsidR="005A7DB0" w:rsidRPr="00060710" w14:paraId="0B0D41F2" w14:textId="77777777" w:rsidTr="00187161">
        <w:tc>
          <w:tcPr>
            <w:tcW w:w="5524" w:type="dxa"/>
          </w:tcPr>
          <w:p w14:paraId="1BA66F18" w14:textId="3A3BD2A2" w:rsidR="005A7DB0" w:rsidRPr="00060710" w:rsidRDefault="00B665E7" w:rsidP="00060710">
            <w:pPr>
              <w:jc w:val="center"/>
              <w:rPr>
                <w:b/>
                <w:bCs/>
              </w:rPr>
            </w:pPr>
            <w:bookmarkStart w:id="2" w:name="_Hlk37324734"/>
            <w:r w:rsidRPr="00060710">
              <w:rPr>
                <w:b/>
                <w:bCs/>
              </w:rPr>
              <w:t>Response</w:t>
            </w:r>
          </w:p>
        </w:tc>
        <w:tc>
          <w:tcPr>
            <w:tcW w:w="1559" w:type="dxa"/>
          </w:tcPr>
          <w:p w14:paraId="5B009BE5" w14:textId="0B1859A7" w:rsidR="005A7DB0" w:rsidRPr="00060710" w:rsidRDefault="00B665E7" w:rsidP="00060710">
            <w:pPr>
              <w:jc w:val="center"/>
              <w:rPr>
                <w:b/>
                <w:bCs/>
              </w:rPr>
            </w:pPr>
            <w:r w:rsidRPr="00060710">
              <w:rPr>
                <w:b/>
                <w:bCs/>
              </w:rPr>
              <w:t>Frequency</w:t>
            </w:r>
          </w:p>
        </w:tc>
        <w:tc>
          <w:tcPr>
            <w:tcW w:w="1933" w:type="dxa"/>
          </w:tcPr>
          <w:p w14:paraId="41699887" w14:textId="789D481E" w:rsidR="005A7DB0" w:rsidRPr="00060710" w:rsidRDefault="00B665E7" w:rsidP="00060710">
            <w:pPr>
              <w:jc w:val="center"/>
              <w:rPr>
                <w:b/>
                <w:bCs/>
              </w:rPr>
            </w:pPr>
            <w:r w:rsidRPr="00060710">
              <w:rPr>
                <w:b/>
                <w:bCs/>
              </w:rPr>
              <w:t>Percentage (%)</w:t>
            </w:r>
          </w:p>
        </w:tc>
      </w:tr>
      <w:tr w:rsidR="005A7DB0" w14:paraId="75A42D54" w14:textId="77777777" w:rsidTr="00187161">
        <w:tc>
          <w:tcPr>
            <w:tcW w:w="5524" w:type="dxa"/>
          </w:tcPr>
          <w:p w14:paraId="16A79EA8" w14:textId="7C7FB0C8" w:rsidR="005A7DB0" w:rsidRDefault="00A56095" w:rsidP="00D8579C">
            <w:pPr>
              <w:jc w:val="both"/>
            </w:pPr>
            <w:r>
              <w:t>Good</w:t>
            </w:r>
          </w:p>
        </w:tc>
        <w:tc>
          <w:tcPr>
            <w:tcW w:w="1559" w:type="dxa"/>
          </w:tcPr>
          <w:p w14:paraId="377E6048" w14:textId="3B9AF9C6" w:rsidR="005A7DB0" w:rsidRPr="00187161" w:rsidRDefault="00DC2776" w:rsidP="00187161">
            <w:pPr>
              <w:jc w:val="center"/>
            </w:pPr>
            <w:r>
              <w:t>1289</w:t>
            </w:r>
          </w:p>
        </w:tc>
        <w:tc>
          <w:tcPr>
            <w:tcW w:w="1933" w:type="dxa"/>
          </w:tcPr>
          <w:p w14:paraId="06408E6A" w14:textId="6BEA745F" w:rsidR="005A7DB0" w:rsidRPr="00187161" w:rsidRDefault="00A65714" w:rsidP="00187161">
            <w:pPr>
              <w:jc w:val="center"/>
            </w:pPr>
            <w:r>
              <w:t>48.37</w:t>
            </w:r>
          </w:p>
        </w:tc>
      </w:tr>
      <w:tr w:rsidR="005A7DB0" w14:paraId="4DDDC013" w14:textId="77777777" w:rsidTr="00187161">
        <w:tc>
          <w:tcPr>
            <w:tcW w:w="5524" w:type="dxa"/>
          </w:tcPr>
          <w:p w14:paraId="366BF1E4" w14:textId="5CB1D957" w:rsidR="005A7DB0" w:rsidRDefault="008B6522" w:rsidP="00D8579C">
            <w:pPr>
              <w:jc w:val="both"/>
            </w:pPr>
            <w:r>
              <w:t>Poor</w:t>
            </w:r>
          </w:p>
        </w:tc>
        <w:tc>
          <w:tcPr>
            <w:tcW w:w="1559" w:type="dxa"/>
          </w:tcPr>
          <w:p w14:paraId="662B93C3" w14:textId="155B779B" w:rsidR="005A7DB0" w:rsidRPr="00187161" w:rsidRDefault="00DC2776" w:rsidP="00187161">
            <w:pPr>
              <w:jc w:val="center"/>
            </w:pPr>
            <w:r>
              <w:t>1376</w:t>
            </w:r>
          </w:p>
        </w:tc>
        <w:tc>
          <w:tcPr>
            <w:tcW w:w="1933" w:type="dxa"/>
          </w:tcPr>
          <w:p w14:paraId="30D09B2C" w14:textId="05B7418F" w:rsidR="005A7DB0" w:rsidRPr="00187161" w:rsidRDefault="00DC2776" w:rsidP="00187161">
            <w:pPr>
              <w:jc w:val="center"/>
            </w:pPr>
            <w:r>
              <w:t>51.63</w:t>
            </w:r>
          </w:p>
        </w:tc>
      </w:tr>
      <w:tr w:rsidR="005A7DB0" w:rsidRPr="00060710" w14:paraId="23ED174C" w14:textId="77777777" w:rsidTr="00187161">
        <w:tc>
          <w:tcPr>
            <w:tcW w:w="5524" w:type="dxa"/>
          </w:tcPr>
          <w:p w14:paraId="1BADCF48" w14:textId="49A219C9" w:rsidR="005A7DB0" w:rsidRPr="00060710" w:rsidRDefault="00561AEB" w:rsidP="00060710">
            <w:pPr>
              <w:jc w:val="center"/>
              <w:rPr>
                <w:b/>
                <w:bCs/>
              </w:rPr>
            </w:pPr>
            <w:bookmarkStart w:id="3" w:name="_Hlk37324724"/>
            <w:r w:rsidRPr="00060710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75F5CB4E" w14:textId="62306455" w:rsidR="005A7DB0" w:rsidRPr="00060710" w:rsidRDefault="008B6522" w:rsidP="00060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2665</w:t>
            </w:r>
          </w:p>
        </w:tc>
        <w:tc>
          <w:tcPr>
            <w:tcW w:w="1933" w:type="dxa"/>
          </w:tcPr>
          <w:p w14:paraId="71855A7B" w14:textId="60F2DF80" w:rsidR="005A7DB0" w:rsidRPr="00060710" w:rsidRDefault="00060710" w:rsidP="00060710">
            <w:pPr>
              <w:jc w:val="center"/>
              <w:rPr>
                <w:b/>
                <w:bCs/>
              </w:rPr>
            </w:pPr>
            <w:r w:rsidRPr="00060710">
              <w:rPr>
                <w:b/>
                <w:bCs/>
              </w:rPr>
              <w:t>100</w:t>
            </w:r>
          </w:p>
        </w:tc>
      </w:tr>
      <w:bookmarkEnd w:id="2"/>
      <w:bookmarkEnd w:id="3"/>
    </w:tbl>
    <w:p w14:paraId="2086D286" w14:textId="7AEEEF56" w:rsidR="005A7DB0" w:rsidRDefault="005A7DB0" w:rsidP="00D8579C">
      <w:pPr>
        <w:jc w:val="both"/>
      </w:pPr>
    </w:p>
    <w:p w14:paraId="3B60B373" w14:textId="6FD9A4A9" w:rsidR="00330382" w:rsidRDefault="00330382" w:rsidP="00D8579C">
      <w:pPr>
        <w:jc w:val="both"/>
      </w:pPr>
      <w:r>
        <w:t xml:space="preserve">The result reveals people actually assesses the measures and it is not enough when measures are </w:t>
      </w:r>
      <w:r w:rsidR="002750E7">
        <w:t>announced getting</w:t>
      </w:r>
      <w:r>
        <w:t xml:space="preserve"> feedback from the public is crucial. </w:t>
      </w:r>
    </w:p>
    <w:p w14:paraId="7B3EA63E" w14:textId="199BD92A" w:rsidR="00801B63" w:rsidRDefault="00924AB5" w:rsidP="00D8579C">
      <w:pPr>
        <w:jc w:val="both"/>
        <w:rPr>
          <w:b/>
          <w:bCs/>
        </w:rPr>
      </w:pPr>
      <w:r>
        <w:rPr>
          <w:b/>
          <w:bCs/>
        </w:rPr>
        <w:t xml:space="preserve">Government`s Incentive Package to Frontline Health Workers </w:t>
      </w:r>
    </w:p>
    <w:p w14:paraId="1AC11F0F" w14:textId="7D89D76F" w:rsidR="00684CF7" w:rsidRDefault="003B2722" w:rsidP="00D8579C">
      <w:pPr>
        <w:jc w:val="both"/>
      </w:pPr>
      <w:r>
        <w:rPr>
          <w:b/>
          <w:bCs/>
        </w:rPr>
        <w:tab/>
      </w:r>
      <w:r w:rsidR="00341051">
        <w:t>The survey</w:t>
      </w:r>
      <w:r>
        <w:t xml:space="preserve"> </w:t>
      </w:r>
      <w:r w:rsidR="0073628A">
        <w:t xml:space="preserve">examined the </w:t>
      </w:r>
      <w:r w:rsidR="008A5434">
        <w:t>opinion</w:t>
      </w:r>
      <w:r w:rsidR="0073628A">
        <w:t xml:space="preserve"> of the citizens </w:t>
      </w:r>
      <w:r w:rsidR="008A5434">
        <w:t>on the decision to give incentives to health</w:t>
      </w:r>
      <w:r w:rsidR="007E77FF">
        <w:t xml:space="preserve"> workers especially the 50% pay increment for the frontline workers</w:t>
      </w:r>
      <w:r w:rsidR="0073628A">
        <w:t>.</w:t>
      </w:r>
      <w:r w:rsidR="00FB28A1">
        <w:t xml:space="preserve"> Participants were asked to </w:t>
      </w:r>
      <w:r w:rsidR="00744831">
        <w:t>indicate if the decision is fair and just</w:t>
      </w:r>
      <w:r w:rsidR="00212AA4">
        <w:t xml:space="preserve">. </w:t>
      </w:r>
      <w:r w:rsidR="00A15C5E">
        <w:t>R</w:t>
      </w:r>
      <w:r w:rsidR="00212AA4">
        <w:t>esult</w:t>
      </w:r>
      <w:r w:rsidR="00A15C5E">
        <w:t xml:space="preserve">s in </w:t>
      </w:r>
      <w:r w:rsidR="00637230">
        <w:t>Figure</w:t>
      </w:r>
      <w:r w:rsidR="00CE50BE">
        <w:t xml:space="preserve"> </w:t>
      </w:r>
      <w:r w:rsidR="00F7062B">
        <w:t>1</w:t>
      </w:r>
      <w:r w:rsidR="00CE50BE">
        <w:t xml:space="preserve"> </w:t>
      </w:r>
      <w:r w:rsidR="00AE4C21">
        <w:t xml:space="preserve">indicated that the </w:t>
      </w:r>
      <w:r w:rsidR="005E5754">
        <w:t xml:space="preserve">decision to give 50% pay increase to only the frontline workers </w:t>
      </w:r>
      <w:r w:rsidR="00251084">
        <w:t>is unfair and discrim</w:t>
      </w:r>
      <w:r w:rsidR="00380910">
        <w:t>in</w:t>
      </w:r>
      <w:r w:rsidR="00251084">
        <w:t xml:space="preserve">atory and can reduce the degree of commitment </w:t>
      </w:r>
      <w:r w:rsidR="00380910">
        <w:t xml:space="preserve">and zeal </w:t>
      </w:r>
      <w:r w:rsidR="00251084">
        <w:t xml:space="preserve">among the workers. </w:t>
      </w:r>
      <w:r w:rsidR="00637230">
        <w:t xml:space="preserve">Majority of the respondents </w:t>
      </w:r>
      <w:r w:rsidR="00516C28">
        <w:t xml:space="preserve">(1776, representing </w:t>
      </w:r>
      <w:r w:rsidR="00E26AF0">
        <w:t>67</w:t>
      </w:r>
      <w:r w:rsidR="00516C28">
        <w:t>%) indicated that the decision is discriminatory</w:t>
      </w:r>
      <w:r w:rsidR="00E26AF0">
        <w:t xml:space="preserve"> as against 889 (33%) who </w:t>
      </w:r>
      <w:r w:rsidR="00C3452E">
        <w:t xml:space="preserve">said it is </w:t>
      </w:r>
      <w:r w:rsidR="00E474BB">
        <w:t xml:space="preserve">fair and </w:t>
      </w:r>
      <w:r w:rsidR="00C3452E">
        <w:t>just.</w:t>
      </w:r>
    </w:p>
    <w:p w14:paraId="7855B8A8" w14:textId="2B0A6BB0" w:rsidR="00622B19" w:rsidRDefault="00622B19" w:rsidP="00D506A7">
      <w:pPr>
        <w:spacing w:after="0"/>
        <w:jc w:val="both"/>
      </w:pPr>
      <w:r>
        <w:rPr>
          <w:noProof/>
          <w:lang w:val="en-US"/>
        </w:rPr>
        <w:drawing>
          <wp:inline distT="0" distB="0" distL="0" distR="0" wp14:anchorId="49D1F722" wp14:editId="636A4EEF">
            <wp:extent cx="5784980" cy="3638938"/>
            <wp:effectExtent l="0" t="0" r="63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961D9B" w14:textId="2770B9E1" w:rsidR="00406DE7" w:rsidRDefault="00D506A7" w:rsidP="00C54ACE">
      <w:pPr>
        <w:spacing w:after="0"/>
        <w:jc w:val="both"/>
      </w:pPr>
      <w:r w:rsidRPr="00EA47CB">
        <w:rPr>
          <w:i/>
          <w:iCs/>
        </w:rPr>
        <w:t>Figure</w:t>
      </w:r>
      <w:r w:rsidR="00406DE7" w:rsidRPr="00EA47CB">
        <w:rPr>
          <w:i/>
          <w:iCs/>
        </w:rPr>
        <w:t xml:space="preserve"> </w:t>
      </w:r>
      <w:r w:rsidRPr="00EA47CB">
        <w:rPr>
          <w:i/>
          <w:iCs/>
        </w:rPr>
        <w:t>1</w:t>
      </w:r>
      <w:r w:rsidR="00406DE7" w:rsidRPr="00EA47CB">
        <w:rPr>
          <w:i/>
          <w:iCs/>
        </w:rPr>
        <w:t>:</w:t>
      </w:r>
      <w:r w:rsidR="00406DE7">
        <w:t xml:space="preserve"> </w:t>
      </w:r>
      <w:r w:rsidR="00EA47CB">
        <w:t xml:space="preserve">Incentive of </w:t>
      </w:r>
      <w:r w:rsidR="00C70FD9">
        <w:t xml:space="preserve">50% Pay Increment for Frontline Health </w:t>
      </w:r>
      <w:r w:rsidR="00C70FD9" w:rsidRPr="00EA47CB">
        <w:t xml:space="preserve">Workers in </w:t>
      </w:r>
      <w:r w:rsidR="00D86011" w:rsidRPr="00EA47CB">
        <w:t>Ghana</w:t>
      </w:r>
    </w:p>
    <w:p w14:paraId="2A97C455" w14:textId="291E1817" w:rsidR="00330382" w:rsidRDefault="00330382" w:rsidP="00C54ACE">
      <w:pPr>
        <w:spacing w:after="0"/>
        <w:jc w:val="both"/>
      </w:pPr>
      <w:r>
        <w:t xml:space="preserve">The results shows government did not do comprehensive consultations with health workers associations before the announcement. It is clear that the public agreed that the risk levels are </w:t>
      </w:r>
      <w:r w:rsidR="009B273A">
        <w:t>different and that there should be graduated recognition of all health and allied health workers. The current form is considered by the public as discriminatory.</w:t>
      </w:r>
    </w:p>
    <w:p w14:paraId="629B4611" w14:textId="28D4B613" w:rsidR="000C1E68" w:rsidRDefault="000C1E68" w:rsidP="00D8579C">
      <w:pPr>
        <w:jc w:val="both"/>
      </w:pPr>
    </w:p>
    <w:p w14:paraId="0359CE93" w14:textId="5CCD8722" w:rsidR="00E73B3C" w:rsidRPr="00F7062B" w:rsidRDefault="00F7062B" w:rsidP="00D8579C">
      <w:pPr>
        <w:jc w:val="both"/>
        <w:rPr>
          <w:b/>
          <w:bCs/>
        </w:rPr>
      </w:pPr>
      <w:r w:rsidRPr="00F7062B">
        <w:rPr>
          <w:b/>
          <w:bCs/>
        </w:rPr>
        <w:t>Ratio of Incentive if Government should Consider all Health Workers in Ghana</w:t>
      </w:r>
    </w:p>
    <w:p w14:paraId="0F9B402B" w14:textId="54590DAA" w:rsidR="00C54ACE" w:rsidRPr="00E474BB" w:rsidRDefault="00E474BB" w:rsidP="00D8579C">
      <w:pPr>
        <w:jc w:val="both"/>
      </w:pPr>
      <w:r>
        <w:rPr>
          <w:b/>
          <w:bCs/>
        </w:rPr>
        <w:tab/>
      </w:r>
      <w:r w:rsidR="00F932E8">
        <w:t>The survey</w:t>
      </w:r>
      <w:r>
        <w:t xml:space="preserve"> further examined the opinion of </w:t>
      </w:r>
      <w:r w:rsidR="00D9426F">
        <w:t>those who feel the decision to reward only the frontline health workers was discriminatory</w:t>
      </w:r>
      <w:r>
        <w:t xml:space="preserve"> on the </w:t>
      </w:r>
      <w:r w:rsidR="00A44B23">
        <w:t xml:space="preserve">rate that government should use in giving this pay increment as an incentive package to </w:t>
      </w:r>
      <w:r w:rsidR="00E04878">
        <w:t xml:space="preserve">all </w:t>
      </w:r>
      <w:r w:rsidR="00A44B23">
        <w:t>the health workers in Ghana</w:t>
      </w:r>
      <w:r w:rsidR="00F932E8">
        <w:t xml:space="preserve"> to ensure fair and just treatment for all</w:t>
      </w:r>
      <w:r w:rsidR="00A44B23">
        <w:t>.</w:t>
      </w:r>
      <w:r w:rsidR="00E04878">
        <w:t xml:space="preserve"> </w:t>
      </w:r>
      <w:r w:rsidR="00F932E8">
        <w:t>The survey</w:t>
      </w:r>
      <w:r w:rsidR="00E04878">
        <w:t xml:space="preserve"> presented pair</w:t>
      </w:r>
      <w:r w:rsidR="00F93EB2">
        <w:t>ed</w:t>
      </w:r>
      <w:r w:rsidR="00F3030E">
        <w:t>-</w:t>
      </w:r>
      <w:r w:rsidR="00F93EB2">
        <w:t>options to the respondents to select from in the manner as frontline and other health workers in that order</w:t>
      </w:r>
      <w:r w:rsidR="00F3030E">
        <w:t>.</w:t>
      </w:r>
      <w:r w:rsidR="001773CF">
        <w:t xml:space="preserve"> </w:t>
      </w:r>
      <w:r w:rsidR="00C43793">
        <w:t xml:space="preserve">11% of the </w:t>
      </w:r>
      <w:r w:rsidR="00341051">
        <w:t>1776 respondents who in</w:t>
      </w:r>
      <w:r w:rsidR="00E218F1">
        <w:t>dicated that the decision is not fair were of the view that government give flat 50% pay increment to all health workers</w:t>
      </w:r>
      <w:r w:rsidR="00210254">
        <w:t xml:space="preserve">, 21% indicated 30% for frontline health workers and </w:t>
      </w:r>
      <w:r w:rsidR="00C82DFC">
        <w:t xml:space="preserve">20% for others, 27% proposed 50% and 30% for </w:t>
      </w:r>
      <w:r w:rsidR="00EE3F22">
        <w:t>frontline and others respectively, whole majority (</w:t>
      </w:r>
      <w:r w:rsidR="00214D39">
        <w:t xml:space="preserve">41%) of the respondents indicated that 50% for frontline workers and 20% for the other workers will let peace prevail. </w:t>
      </w:r>
    </w:p>
    <w:p w14:paraId="207000B8" w14:textId="5BDAE0A3" w:rsidR="00944035" w:rsidRDefault="00110CF1" w:rsidP="00944035">
      <w:pPr>
        <w:jc w:val="both"/>
      </w:pPr>
      <w:r>
        <w:rPr>
          <w:noProof/>
          <w:lang w:val="en-US"/>
        </w:rPr>
        <w:drawing>
          <wp:inline distT="0" distB="0" distL="0" distR="0" wp14:anchorId="53BB42CD" wp14:editId="6753627B">
            <wp:extent cx="5737860" cy="4002833"/>
            <wp:effectExtent l="0" t="0" r="1524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6B4551" w14:textId="028F00D4" w:rsidR="00BA2466" w:rsidRDefault="00BA2466" w:rsidP="002F289C">
      <w:pPr>
        <w:jc w:val="both"/>
      </w:pPr>
      <w:r w:rsidRPr="00B34AD6">
        <w:rPr>
          <w:i/>
          <w:iCs/>
        </w:rPr>
        <w:t xml:space="preserve">Figure </w:t>
      </w:r>
      <w:r w:rsidR="00B34AD6" w:rsidRPr="00B34AD6">
        <w:rPr>
          <w:i/>
          <w:iCs/>
        </w:rPr>
        <w:t>2</w:t>
      </w:r>
      <w:r w:rsidRPr="00B34AD6">
        <w:rPr>
          <w:i/>
          <w:iCs/>
        </w:rPr>
        <w:t>:</w:t>
      </w:r>
      <w:r>
        <w:t xml:space="preserve"> </w:t>
      </w:r>
      <w:r w:rsidR="00B34AD6">
        <w:t>Rate of Pay Increment as Incentive for Health Workers</w:t>
      </w:r>
    </w:p>
    <w:p w14:paraId="431F69A8" w14:textId="7192DF3D" w:rsidR="009B273A" w:rsidRDefault="009B273A" w:rsidP="002F289C">
      <w:pPr>
        <w:jc w:val="both"/>
      </w:pPr>
      <w:r>
        <w:t xml:space="preserve">This shows that about 89% </w:t>
      </w:r>
      <w:r w:rsidR="002750E7">
        <w:t>of the</w:t>
      </w:r>
      <w:r>
        <w:t xml:space="preserve"> public believe that frontline health workers ahould receive more than other health workers. The result also reveals that 21% of the believes that the 50% announced should be shared between frontline health workers and other health workers.  </w:t>
      </w:r>
      <w:r w:rsidR="008D78C4">
        <w:t xml:space="preserve">Also 68% of those who consider the announcement as discriminatory want the government to maintain the 50% to frontline health workers and consider </w:t>
      </w:r>
      <w:r w:rsidR="002750E7">
        <w:t>between 20</w:t>
      </w:r>
      <w:r w:rsidR="008D78C4">
        <w:t>% and 30% allowance to other health workers.</w:t>
      </w:r>
    </w:p>
    <w:p w14:paraId="05584239" w14:textId="2A60640C" w:rsidR="00BA2466" w:rsidRDefault="00AF7719" w:rsidP="002F289C">
      <w:pPr>
        <w:spacing w:after="0"/>
        <w:jc w:val="both"/>
        <w:rPr>
          <w:b/>
          <w:bCs/>
        </w:rPr>
      </w:pPr>
      <w:r>
        <w:rPr>
          <w:b/>
          <w:bCs/>
        </w:rPr>
        <w:t>Electricity and Telecommunication Tariff for the Citizens</w:t>
      </w:r>
    </w:p>
    <w:p w14:paraId="30C278B4" w14:textId="74A81981" w:rsidR="002F289C" w:rsidRDefault="00ED4B31" w:rsidP="00944035">
      <w:pPr>
        <w:jc w:val="both"/>
      </w:pPr>
      <w:r>
        <w:tab/>
      </w:r>
      <w:r w:rsidR="00AF7719">
        <w:t xml:space="preserve">The survey thought it necessary to look at the </w:t>
      </w:r>
      <w:r w:rsidR="00403152">
        <w:t>proposals placed before the president by the Former President and the Flagbearer of the opposition National Democratic Congress</w:t>
      </w:r>
      <w:r w:rsidR="0011383D">
        <w:t xml:space="preserve">, H.E. John Dramani Maham to absorb the cost of electricity and </w:t>
      </w:r>
      <w:r w:rsidR="0051784C">
        <w:t xml:space="preserve">internet data of the citizens during the period that the state </w:t>
      </w:r>
      <w:r w:rsidR="003F7182">
        <w:t xml:space="preserve">fight to eliminate this pandemic. </w:t>
      </w:r>
      <w:r>
        <w:t xml:space="preserve">Citizens were asked to indicate </w:t>
      </w:r>
      <w:r w:rsidR="00562C70">
        <w:t xml:space="preserve">whether the proposal is necessary </w:t>
      </w:r>
      <w:r w:rsidR="001D6F5C">
        <w:t>and needs government`s attention or not</w:t>
      </w:r>
      <w:r w:rsidR="00D20B4C">
        <w:t>.</w:t>
      </w:r>
      <w:r w:rsidR="00F30A5C">
        <w:t xml:space="preserve"> </w:t>
      </w:r>
      <w:r w:rsidR="00046D13">
        <w:t>From Figure 3, the result indicate</w:t>
      </w:r>
      <w:r w:rsidR="008D78C4">
        <w:t>s</w:t>
      </w:r>
      <w:r w:rsidR="00046D13">
        <w:t xml:space="preserve"> that</w:t>
      </w:r>
      <w:r w:rsidR="00704B3B">
        <w:t xml:space="preserve"> an overwhelming</w:t>
      </w:r>
      <w:r w:rsidR="00046D13">
        <w:t xml:space="preserve"> </w:t>
      </w:r>
      <w:r w:rsidR="00704B3B">
        <w:t>95</w:t>
      </w:r>
      <w:r w:rsidR="00F30A5C">
        <w:t xml:space="preserve">% of respondents believed the </w:t>
      </w:r>
      <w:r w:rsidR="00704B3B">
        <w:t xml:space="preserve">proposal of the </w:t>
      </w:r>
      <w:r w:rsidR="00F30A5C">
        <w:t xml:space="preserve">NDC </w:t>
      </w:r>
      <w:r w:rsidR="00704B3B">
        <w:t xml:space="preserve">flagbearer </w:t>
      </w:r>
      <w:r w:rsidR="00F30A5C">
        <w:t xml:space="preserve">is most </w:t>
      </w:r>
      <w:r w:rsidR="006840D6">
        <w:t>relevant for the government to look at now as far as the fight against the novel pandemic and the citizens` wellbeing are concerned</w:t>
      </w:r>
      <w:r w:rsidR="007F50FF">
        <w:t xml:space="preserve"> while an insignificant 5% feels it is not necessary. </w:t>
      </w:r>
      <w:r w:rsidR="00D20B4C">
        <w:t xml:space="preserve">This is shown in Figure </w:t>
      </w:r>
      <w:r w:rsidR="00B230CB">
        <w:t>3</w:t>
      </w:r>
      <w:r w:rsidR="00D20B4C">
        <w:t>.</w:t>
      </w:r>
    </w:p>
    <w:p w14:paraId="416DA06B" w14:textId="6CCC4D22" w:rsidR="00B230CB" w:rsidRDefault="00B230CB" w:rsidP="00944035">
      <w:pPr>
        <w:jc w:val="both"/>
      </w:pPr>
      <w:r w:rsidRPr="00867840">
        <w:rPr>
          <w:noProof/>
          <w:color w:val="DA6710"/>
          <w:lang w:val="en-US"/>
        </w:rPr>
        <w:drawing>
          <wp:inline distT="0" distB="0" distL="0" distR="0" wp14:anchorId="74B7EFD5" wp14:editId="3C8A5331">
            <wp:extent cx="5486400" cy="4012163"/>
            <wp:effectExtent l="0" t="0" r="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D080FC" w14:textId="4559F256" w:rsidR="00D20B4C" w:rsidRDefault="00D20B4C" w:rsidP="00944035">
      <w:pPr>
        <w:jc w:val="both"/>
      </w:pPr>
    </w:p>
    <w:p w14:paraId="266B8919" w14:textId="29262A7F" w:rsidR="006E6956" w:rsidRDefault="006E6956" w:rsidP="00944035">
      <w:pPr>
        <w:jc w:val="both"/>
      </w:pPr>
      <w:r w:rsidRPr="00F508B4">
        <w:rPr>
          <w:i/>
          <w:iCs/>
        </w:rPr>
        <w:t xml:space="preserve">Figure </w:t>
      </w:r>
      <w:r w:rsidR="007F50FF" w:rsidRPr="00F508B4">
        <w:rPr>
          <w:i/>
          <w:iCs/>
        </w:rPr>
        <w:t>3</w:t>
      </w:r>
      <w:r>
        <w:t xml:space="preserve">: </w:t>
      </w:r>
      <w:r w:rsidR="007F50FF">
        <w:t xml:space="preserve">The need for Government to consider </w:t>
      </w:r>
      <w:r w:rsidR="00F508B4">
        <w:t xml:space="preserve">absorbing Electricity and Mobile Data cost of </w:t>
      </w:r>
      <w:r w:rsidR="002750E7">
        <w:t>Citizens.</w:t>
      </w:r>
    </w:p>
    <w:p w14:paraId="3A9807B0" w14:textId="4566372F" w:rsidR="008D78C4" w:rsidRDefault="008D78C4" w:rsidP="00944035">
      <w:pPr>
        <w:jc w:val="both"/>
      </w:pPr>
      <w:r>
        <w:t>This is self-explanatory that this is very necessary and must be considered.</w:t>
      </w:r>
    </w:p>
    <w:p w14:paraId="4EE0CFFB" w14:textId="5189F2F8" w:rsidR="00563D17" w:rsidRPr="0081296C" w:rsidRDefault="00563D17" w:rsidP="00944035">
      <w:pPr>
        <w:jc w:val="both"/>
        <w:rPr>
          <w:b/>
          <w:bCs/>
        </w:rPr>
      </w:pPr>
      <w:r w:rsidRPr="0081296C">
        <w:rPr>
          <w:b/>
          <w:bCs/>
        </w:rPr>
        <w:t>Conclusion</w:t>
      </w:r>
    </w:p>
    <w:p w14:paraId="0BB5C68E" w14:textId="0CD02570" w:rsidR="006E7C64" w:rsidRDefault="00563D17" w:rsidP="0081296C">
      <w:pPr>
        <w:ind w:firstLine="720"/>
        <w:jc w:val="both"/>
      </w:pPr>
      <w:r>
        <w:t xml:space="preserve">So far, the </w:t>
      </w:r>
      <w:r w:rsidR="00207709">
        <w:t xml:space="preserve">citizens have rated the performance of the government </w:t>
      </w:r>
      <w:r w:rsidR="00BD125C">
        <w:t xml:space="preserve">poor </w:t>
      </w:r>
      <w:r w:rsidR="00207709">
        <w:t>as far as the fight against the novel Covid-</w:t>
      </w:r>
      <w:r w:rsidR="002750E7">
        <w:t>19 in</w:t>
      </w:r>
      <w:r w:rsidR="006E7C64">
        <w:t xml:space="preserve"> respect of livelihood measures.</w:t>
      </w:r>
      <w:r w:rsidR="004340F5">
        <w:t xml:space="preserve"> and advised that the government look critically at the proposals submitted by the opposition</w:t>
      </w:r>
      <w:r>
        <w:t xml:space="preserve"> National Democratic Congress</w:t>
      </w:r>
      <w:r w:rsidR="006A790C">
        <w:t>, especially the one requesting government to take up the cost of electricity and mob</w:t>
      </w:r>
      <w:r w:rsidR="00E411A3">
        <w:t>ile data of the citizens</w:t>
      </w:r>
      <w:r w:rsidR="000E0EA3">
        <w:t>.</w:t>
      </w:r>
      <w:r w:rsidR="006A790C">
        <w:t xml:space="preserve"> </w:t>
      </w:r>
      <w:r w:rsidR="0074158A">
        <w:t xml:space="preserve">We wish to extend our token of appreciation to the government and pray it double up efforts </w:t>
      </w:r>
      <w:r w:rsidR="00D937DB">
        <w:t xml:space="preserve">in the coming days as we continue to monitor the views of the citizens. </w:t>
      </w:r>
    </w:p>
    <w:p w14:paraId="20A9BB53" w14:textId="77777777" w:rsidR="006E7C64" w:rsidRDefault="006E7C64" w:rsidP="0081296C">
      <w:pPr>
        <w:ind w:firstLine="720"/>
        <w:jc w:val="both"/>
      </w:pPr>
    </w:p>
    <w:p w14:paraId="5BE884BE" w14:textId="2FDA9AE3" w:rsidR="0081296C" w:rsidRDefault="007C0AE2" w:rsidP="0081296C">
      <w:pPr>
        <w:ind w:firstLine="720"/>
        <w:jc w:val="both"/>
      </w:pPr>
      <w:r>
        <w:t xml:space="preserve">As we indicated in our previous study, we wish to reiterate that </w:t>
      </w:r>
      <w:r w:rsidR="0081296C">
        <w:t xml:space="preserve">indeed the good people of Ghana are monitoring </w:t>
      </w:r>
      <w:r w:rsidR="000B013F">
        <w:t xml:space="preserve">every activity in this trying time. </w:t>
      </w:r>
    </w:p>
    <w:p w14:paraId="66840833" w14:textId="77777777" w:rsidR="0011521F" w:rsidRPr="00D6375F" w:rsidRDefault="0011521F" w:rsidP="00944035">
      <w:pPr>
        <w:jc w:val="both"/>
      </w:pPr>
    </w:p>
    <w:sectPr w:rsidR="0011521F" w:rsidRPr="00D63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6"/>
    <w:rsid w:val="000015C5"/>
    <w:rsid w:val="000041E3"/>
    <w:rsid w:val="00020BE9"/>
    <w:rsid w:val="000216F4"/>
    <w:rsid w:val="00036459"/>
    <w:rsid w:val="00046D13"/>
    <w:rsid w:val="00046D75"/>
    <w:rsid w:val="00050AEA"/>
    <w:rsid w:val="0005316D"/>
    <w:rsid w:val="00053E29"/>
    <w:rsid w:val="000560F7"/>
    <w:rsid w:val="00060710"/>
    <w:rsid w:val="00064A14"/>
    <w:rsid w:val="00073AC1"/>
    <w:rsid w:val="00076B75"/>
    <w:rsid w:val="000A6ABD"/>
    <w:rsid w:val="000B013F"/>
    <w:rsid w:val="000B15B7"/>
    <w:rsid w:val="000C1E68"/>
    <w:rsid w:val="000C7039"/>
    <w:rsid w:val="000C7C5A"/>
    <w:rsid w:val="000D1153"/>
    <w:rsid w:val="000D53AA"/>
    <w:rsid w:val="000E0590"/>
    <w:rsid w:val="000E0EA3"/>
    <w:rsid w:val="000F2E8A"/>
    <w:rsid w:val="00110B57"/>
    <w:rsid w:val="00110CF1"/>
    <w:rsid w:val="00111B79"/>
    <w:rsid w:val="0011383D"/>
    <w:rsid w:val="0011521F"/>
    <w:rsid w:val="00124DA9"/>
    <w:rsid w:val="00144D51"/>
    <w:rsid w:val="0014717A"/>
    <w:rsid w:val="00150894"/>
    <w:rsid w:val="0015509F"/>
    <w:rsid w:val="00155BB5"/>
    <w:rsid w:val="00162F53"/>
    <w:rsid w:val="001636C4"/>
    <w:rsid w:val="00173CAE"/>
    <w:rsid w:val="00175E4B"/>
    <w:rsid w:val="001773CF"/>
    <w:rsid w:val="001854CB"/>
    <w:rsid w:val="00187161"/>
    <w:rsid w:val="00192D1B"/>
    <w:rsid w:val="001B24B7"/>
    <w:rsid w:val="001C18C9"/>
    <w:rsid w:val="001D6F5C"/>
    <w:rsid w:val="001E0965"/>
    <w:rsid w:val="001F3C88"/>
    <w:rsid w:val="00207709"/>
    <w:rsid w:val="00210254"/>
    <w:rsid w:val="00212AA4"/>
    <w:rsid w:val="00214D39"/>
    <w:rsid w:val="002168B5"/>
    <w:rsid w:val="00217D60"/>
    <w:rsid w:val="00247513"/>
    <w:rsid w:val="00251084"/>
    <w:rsid w:val="002750E7"/>
    <w:rsid w:val="002829E8"/>
    <w:rsid w:val="00284705"/>
    <w:rsid w:val="00285F9D"/>
    <w:rsid w:val="00287D7B"/>
    <w:rsid w:val="002A0D83"/>
    <w:rsid w:val="002A5202"/>
    <w:rsid w:val="002A6CE3"/>
    <w:rsid w:val="002C4C26"/>
    <w:rsid w:val="002D1DD1"/>
    <w:rsid w:val="002E295B"/>
    <w:rsid w:val="002F289C"/>
    <w:rsid w:val="002F68ED"/>
    <w:rsid w:val="003010DB"/>
    <w:rsid w:val="00304D20"/>
    <w:rsid w:val="00320C68"/>
    <w:rsid w:val="00330382"/>
    <w:rsid w:val="00341051"/>
    <w:rsid w:val="00350008"/>
    <w:rsid w:val="00350CED"/>
    <w:rsid w:val="00365498"/>
    <w:rsid w:val="003656E5"/>
    <w:rsid w:val="00380910"/>
    <w:rsid w:val="00385D64"/>
    <w:rsid w:val="00386340"/>
    <w:rsid w:val="003B2722"/>
    <w:rsid w:val="003B5915"/>
    <w:rsid w:val="003C1682"/>
    <w:rsid w:val="003C4F82"/>
    <w:rsid w:val="003F4267"/>
    <w:rsid w:val="003F7182"/>
    <w:rsid w:val="00403152"/>
    <w:rsid w:val="00406DE7"/>
    <w:rsid w:val="00410A2C"/>
    <w:rsid w:val="004340F5"/>
    <w:rsid w:val="004424C7"/>
    <w:rsid w:val="00444F1D"/>
    <w:rsid w:val="00456EFF"/>
    <w:rsid w:val="00457FB0"/>
    <w:rsid w:val="00461893"/>
    <w:rsid w:val="00462608"/>
    <w:rsid w:val="004721E2"/>
    <w:rsid w:val="00493481"/>
    <w:rsid w:val="004A0955"/>
    <w:rsid w:val="004C50A6"/>
    <w:rsid w:val="004C77F0"/>
    <w:rsid w:val="005044D3"/>
    <w:rsid w:val="005079AC"/>
    <w:rsid w:val="00507CF5"/>
    <w:rsid w:val="00514F96"/>
    <w:rsid w:val="00516C28"/>
    <w:rsid w:val="0051784C"/>
    <w:rsid w:val="00524902"/>
    <w:rsid w:val="00526846"/>
    <w:rsid w:val="005271AF"/>
    <w:rsid w:val="00530DB9"/>
    <w:rsid w:val="00561589"/>
    <w:rsid w:val="00561AEB"/>
    <w:rsid w:val="00561C8E"/>
    <w:rsid w:val="00562C70"/>
    <w:rsid w:val="005634B2"/>
    <w:rsid w:val="00563D17"/>
    <w:rsid w:val="0057391D"/>
    <w:rsid w:val="00573CC9"/>
    <w:rsid w:val="0058259B"/>
    <w:rsid w:val="005854E7"/>
    <w:rsid w:val="00592C70"/>
    <w:rsid w:val="005A7DB0"/>
    <w:rsid w:val="005B6E54"/>
    <w:rsid w:val="005C54D8"/>
    <w:rsid w:val="005C7807"/>
    <w:rsid w:val="005D5AE4"/>
    <w:rsid w:val="005E5754"/>
    <w:rsid w:val="005F43EC"/>
    <w:rsid w:val="00605503"/>
    <w:rsid w:val="00622B19"/>
    <w:rsid w:val="00637230"/>
    <w:rsid w:val="00641E63"/>
    <w:rsid w:val="00647120"/>
    <w:rsid w:val="00674CC2"/>
    <w:rsid w:val="00681E66"/>
    <w:rsid w:val="006840D6"/>
    <w:rsid w:val="00684CF7"/>
    <w:rsid w:val="006A4C6F"/>
    <w:rsid w:val="006A790C"/>
    <w:rsid w:val="006D2293"/>
    <w:rsid w:val="006D5C9D"/>
    <w:rsid w:val="006D7E03"/>
    <w:rsid w:val="006E0658"/>
    <w:rsid w:val="006E6661"/>
    <w:rsid w:val="006E6956"/>
    <w:rsid w:val="006E7C64"/>
    <w:rsid w:val="00704B3B"/>
    <w:rsid w:val="00712D9F"/>
    <w:rsid w:val="0073470D"/>
    <w:rsid w:val="0073628A"/>
    <w:rsid w:val="0074158A"/>
    <w:rsid w:val="00743A5C"/>
    <w:rsid w:val="00744831"/>
    <w:rsid w:val="007449E0"/>
    <w:rsid w:val="00787CFC"/>
    <w:rsid w:val="007A233E"/>
    <w:rsid w:val="007A2C8F"/>
    <w:rsid w:val="007A70A2"/>
    <w:rsid w:val="007B108A"/>
    <w:rsid w:val="007B189E"/>
    <w:rsid w:val="007C0AE2"/>
    <w:rsid w:val="007C214C"/>
    <w:rsid w:val="007C621C"/>
    <w:rsid w:val="007D7C0F"/>
    <w:rsid w:val="007E1CE0"/>
    <w:rsid w:val="007E77FF"/>
    <w:rsid w:val="007F50FF"/>
    <w:rsid w:val="00801B63"/>
    <w:rsid w:val="0081296C"/>
    <w:rsid w:val="00814AA1"/>
    <w:rsid w:val="00826DFC"/>
    <w:rsid w:val="00844581"/>
    <w:rsid w:val="0085737C"/>
    <w:rsid w:val="00867840"/>
    <w:rsid w:val="00870022"/>
    <w:rsid w:val="00887153"/>
    <w:rsid w:val="00887725"/>
    <w:rsid w:val="0089562A"/>
    <w:rsid w:val="008A2BD1"/>
    <w:rsid w:val="008A5434"/>
    <w:rsid w:val="008A68CB"/>
    <w:rsid w:val="008B6522"/>
    <w:rsid w:val="008D0235"/>
    <w:rsid w:val="008D18A0"/>
    <w:rsid w:val="008D2AEC"/>
    <w:rsid w:val="008D78C4"/>
    <w:rsid w:val="00901932"/>
    <w:rsid w:val="00903C60"/>
    <w:rsid w:val="00913081"/>
    <w:rsid w:val="00914AB9"/>
    <w:rsid w:val="0091737C"/>
    <w:rsid w:val="00924AB5"/>
    <w:rsid w:val="00924CDA"/>
    <w:rsid w:val="00934D42"/>
    <w:rsid w:val="00944035"/>
    <w:rsid w:val="00944DAD"/>
    <w:rsid w:val="0094621C"/>
    <w:rsid w:val="0095148B"/>
    <w:rsid w:val="0095336C"/>
    <w:rsid w:val="00963DCA"/>
    <w:rsid w:val="00972ECD"/>
    <w:rsid w:val="00990013"/>
    <w:rsid w:val="009A14AE"/>
    <w:rsid w:val="009A50E9"/>
    <w:rsid w:val="009B273A"/>
    <w:rsid w:val="009C45AA"/>
    <w:rsid w:val="009E5585"/>
    <w:rsid w:val="009F0006"/>
    <w:rsid w:val="009F44BD"/>
    <w:rsid w:val="00A0381E"/>
    <w:rsid w:val="00A12A23"/>
    <w:rsid w:val="00A15C5E"/>
    <w:rsid w:val="00A23F25"/>
    <w:rsid w:val="00A2521B"/>
    <w:rsid w:val="00A34A07"/>
    <w:rsid w:val="00A43256"/>
    <w:rsid w:val="00A43F47"/>
    <w:rsid w:val="00A44B23"/>
    <w:rsid w:val="00A56095"/>
    <w:rsid w:val="00A60CCC"/>
    <w:rsid w:val="00A65714"/>
    <w:rsid w:val="00A65A85"/>
    <w:rsid w:val="00AC0291"/>
    <w:rsid w:val="00AC24FE"/>
    <w:rsid w:val="00AE1752"/>
    <w:rsid w:val="00AE22FA"/>
    <w:rsid w:val="00AE4C21"/>
    <w:rsid w:val="00AF04A9"/>
    <w:rsid w:val="00AF4A96"/>
    <w:rsid w:val="00AF7719"/>
    <w:rsid w:val="00B05D76"/>
    <w:rsid w:val="00B0702B"/>
    <w:rsid w:val="00B1385C"/>
    <w:rsid w:val="00B17EC4"/>
    <w:rsid w:val="00B230CB"/>
    <w:rsid w:val="00B2490C"/>
    <w:rsid w:val="00B34AD6"/>
    <w:rsid w:val="00B373F9"/>
    <w:rsid w:val="00B43EDC"/>
    <w:rsid w:val="00B454E8"/>
    <w:rsid w:val="00B51B79"/>
    <w:rsid w:val="00B665E7"/>
    <w:rsid w:val="00B669DD"/>
    <w:rsid w:val="00B763AD"/>
    <w:rsid w:val="00B84B63"/>
    <w:rsid w:val="00B857F9"/>
    <w:rsid w:val="00B93118"/>
    <w:rsid w:val="00BA2466"/>
    <w:rsid w:val="00BA633F"/>
    <w:rsid w:val="00BB1CDB"/>
    <w:rsid w:val="00BD125C"/>
    <w:rsid w:val="00BD60F8"/>
    <w:rsid w:val="00BD7757"/>
    <w:rsid w:val="00BE5076"/>
    <w:rsid w:val="00BE6BBE"/>
    <w:rsid w:val="00C12C25"/>
    <w:rsid w:val="00C15BBF"/>
    <w:rsid w:val="00C2527B"/>
    <w:rsid w:val="00C308A7"/>
    <w:rsid w:val="00C3452E"/>
    <w:rsid w:val="00C43793"/>
    <w:rsid w:val="00C529C3"/>
    <w:rsid w:val="00C54ACE"/>
    <w:rsid w:val="00C660B2"/>
    <w:rsid w:val="00C673D2"/>
    <w:rsid w:val="00C70FD9"/>
    <w:rsid w:val="00C75A7C"/>
    <w:rsid w:val="00C82DFC"/>
    <w:rsid w:val="00C8315D"/>
    <w:rsid w:val="00C84D75"/>
    <w:rsid w:val="00C87B1E"/>
    <w:rsid w:val="00CA4EFD"/>
    <w:rsid w:val="00CC2A29"/>
    <w:rsid w:val="00CC2CA9"/>
    <w:rsid w:val="00CE4115"/>
    <w:rsid w:val="00CE50BE"/>
    <w:rsid w:val="00CE7D29"/>
    <w:rsid w:val="00D20B4C"/>
    <w:rsid w:val="00D27068"/>
    <w:rsid w:val="00D30932"/>
    <w:rsid w:val="00D32ED2"/>
    <w:rsid w:val="00D37A75"/>
    <w:rsid w:val="00D42547"/>
    <w:rsid w:val="00D506A7"/>
    <w:rsid w:val="00D53E38"/>
    <w:rsid w:val="00D6108A"/>
    <w:rsid w:val="00D6375F"/>
    <w:rsid w:val="00D8579C"/>
    <w:rsid w:val="00D86011"/>
    <w:rsid w:val="00D937DB"/>
    <w:rsid w:val="00D9426F"/>
    <w:rsid w:val="00D95E58"/>
    <w:rsid w:val="00DA0165"/>
    <w:rsid w:val="00DB36D0"/>
    <w:rsid w:val="00DC0487"/>
    <w:rsid w:val="00DC2776"/>
    <w:rsid w:val="00DC6E24"/>
    <w:rsid w:val="00DC6F94"/>
    <w:rsid w:val="00DD09F4"/>
    <w:rsid w:val="00DD1515"/>
    <w:rsid w:val="00DD2601"/>
    <w:rsid w:val="00DD263D"/>
    <w:rsid w:val="00DD38BA"/>
    <w:rsid w:val="00DE1890"/>
    <w:rsid w:val="00DE66CD"/>
    <w:rsid w:val="00E04878"/>
    <w:rsid w:val="00E12A52"/>
    <w:rsid w:val="00E218F1"/>
    <w:rsid w:val="00E26AF0"/>
    <w:rsid w:val="00E30F6E"/>
    <w:rsid w:val="00E32E85"/>
    <w:rsid w:val="00E3655E"/>
    <w:rsid w:val="00E411A3"/>
    <w:rsid w:val="00E46DE5"/>
    <w:rsid w:val="00E474BB"/>
    <w:rsid w:val="00E4772C"/>
    <w:rsid w:val="00E6303A"/>
    <w:rsid w:val="00E702EE"/>
    <w:rsid w:val="00E73B3C"/>
    <w:rsid w:val="00E91A80"/>
    <w:rsid w:val="00E97C31"/>
    <w:rsid w:val="00EA078D"/>
    <w:rsid w:val="00EA2072"/>
    <w:rsid w:val="00EA47CB"/>
    <w:rsid w:val="00EB404E"/>
    <w:rsid w:val="00EB50CC"/>
    <w:rsid w:val="00EC3466"/>
    <w:rsid w:val="00EC3F46"/>
    <w:rsid w:val="00EC46C7"/>
    <w:rsid w:val="00ED1DFA"/>
    <w:rsid w:val="00ED28F9"/>
    <w:rsid w:val="00ED4B31"/>
    <w:rsid w:val="00EE14EA"/>
    <w:rsid w:val="00EE3F22"/>
    <w:rsid w:val="00F1231F"/>
    <w:rsid w:val="00F1251D"/>
    <w:rsid w:val="00F16E19"/>
    <w:rsid w:val="00F230BB"/>
    <w:rsid w:val="00F2323D"/>
    <w:rsid w:val="00F3030E"/>
    <w:rsid w:val="00F30A5C"/>
    <w:rsid w:val="00F508B4"/>
    <w:rsid w:val="00F50F8E"/>
    <w:rsid w:val="00F51571"/>
    <w:rsid w:val="00F539EF"/>
    <w:rsid w:val="00F7062B"/>
    <w:rsid w:val="00F74333"/>
    <w:rsid w:val="00F932E8"/>
    <w:rsid w:val="00F93EB2"/>
    <w:rsid w:val="00FA4479"/>
    <w:rsid w:val="00FA7843"/>
    <w:rsid w:val="00FB28A1"/>
    <w:rsid w:val="00FD6775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A1B1"/>
  <w15:chartTrackingRefBased/>
  <w15:docId w15:val="{54A4F4A8-8805-4AC6-B449-123DAE0D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C70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C70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TOAHeading"/>
    <w:next w:val="Normal"/>
    <w:autoRedefine/>
    <w:uiPriority w:val="39"/>
    <w:unhideWhenUsed/>
    <w:qFormat/>
    <w:rsid w:val="00AC0291"/>
    <w:pPr>
      <w:spacing w:after="0"/>
    </w:pPr>
    <w:rPr>
      <w:rFonts w:ascii="Times New Roman" w:hAnsi="Times New Roman"/>
      <w:b w:val="0"/>
      <w:i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C02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bleofFigures">
    <w:name w:val="table of figures"/>
    <w:basedOn w:val="Tables"/>
    <w:next w:val="Normal"/>
    <w:autoRedefine/>
    <w:uiPriority w:val="99"/>
    <w:semiHidden/>
    <w:unhideWhenUsed/>
    <w:qFormat/>
    <w:rsid w:val="00592C70"/>
    <w:pPr>
      <w:spacing w:after="0"/>
    </w:pPr>
  </w:style>
  <w:style w:type="paragraph" w:customStyle="1" w:styleId="Tables">
    <w:name w:val="Tables"/>
    <w:basedOn w:val="Normal"/>
    <w:link w:val="TablesChar"/>
    <w:qFormat/>
    <w:rsid w:val="00592C70"/>
  </w:style>
  <w:style w:type="character" w:customStyle="1" w:styleId="TablesChar">
    <w:name w:val="Tables Char"/>
    <w:basedOn w:val="DefaultParagraphFont"/>
    <w:link w:val="Tables"/>
    <w:rsid w:val="00592C7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A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32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C1-46C4-B895-676E5C68C5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5C1-46C4-B895-676E5C68C54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Fair and Just</c:v>
                </c:pt>
                <c:pt idx="1">
                  <c:v>Discriminatory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889</c:v>
                </c:pt>
                <c:pt idx="1">
                  <c:v>1776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C1-46C4-B895-676E5C68C5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22886232846393"/>
          <c:y val="0"/>
          <c:w val="0.73376833871861635"/>
          <c:h val="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Response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ED0-4EF3-9A54-219C5500933C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D0-4EF3-9A54-219C5500933C}"/>
              </c:ext>
            </c:extLst>
          </c:dPt>
          <c:dPt>
            <c:idx val="2"/>
            <c:bubble3D val="0"/>
            <c:explosion val="9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ED0-4EF3-9A54-219C5500933C}"/>
              </c:ext>
            </c:extLst>
          </c:dPt>
          <c:dPt>
            <c:idx val="3"/>
            <c:bubble3D val="0"/>
            <c:explosion val="1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D0-4EF3-9A54-219C5500933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92332F5-5349-41C3-A8DA-6E0824A7E4B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A2814F15-A37D-4C24-B4CB-75DB73E1E63B}" type="PERCENTAGE">
                      <a:rPr lang="en-US" baseline="0">
                        <a:solidFill>
                          <a:srgbClr val="FFFF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ED0-4EF3-9A54-219C5500933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61D2FE9-A5EE-471F-B206-4892ADC6BBE1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8A072968-34E5-4BD8-A832-8D49DFDE216F}" type="PERCENTAGE">
                      <a:rPr lang="en-US" baseline="0">
                        <a:solidFill>
                          <a:srgbClr val="FFFF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ED0-4EF3-9A54-219C5500933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1EE2EA9-564E-43C4-874F-DD036716B48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323CCC0C-F6CE-48C3-9AD5-2AB0B75BF72E}" type="PERCENTAGE">
                      <a:rPr lang="en-US" baseline="0">
                        <a:solidFill>
                          <a:srgbClr val="FFFF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D0-4EF3-9A54-219C5500933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12149C4-4A05-4BFF-9A41-E3C9A9264FC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76A25152-E5CD-4B25-8027-384A30912BB0}" type="PERCENTAGE">
                      <a:rPr lang="en-US" baseline="0">
                        <a:solidFill>
                          <a:srgbClr val="FFFF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D0-4EF3-9A54-219C5500933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50% for all</c:v>
                </c:pt>
                <c:pt idx="1">
                  <c:v>50% and 20%</c:v>
                </c:pt>
                <c:pt idx="2">
                  <c:v>50% and 30%</c:v>
                </c:pt>
                <c:pt idx="3">
                  <c:v>30% and 20%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201</c:v>
                </c:pt>
                <c:pt idx="1">
                  <c:v>733</c:v>
                </c:pt>
                <c:pt idx="2">
                  <c:v>468</c:v>
                </c:pt>
                <c:pt idx="3">
                  <c:v>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D0-4EF3-9A54-219C5500933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9999999999999998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E9-4595-8E18-E3D3D7BA1B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8E9-4595-8E18-E3D3D7BA1BB5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E9-4595-8E18-E3D3D7BA1BB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0.11014636191309415"/>
                  <c:y val="2.8071775928293859E-2"/>
                </c:manualLayout>
              </c:layout>
              <c:tx>
                <c:rich>
                  <a:bodyPr/>
                  <a:lstStyle/>
                  <a:p>
                    <a:fld id="{132D3DF0-4DD6-4879-B4A9-2ED657B26815}" type="CATEGORYNAME">
                      <a:rPr lang="en-US">
                        <a:solidFill>
                          <a:srgbClr val="FFC000"/>
                        </a:solidFill>
                      </a:rPr>
                      <a:pPr/>
                      <a:t>[CATEGORY NAME]</a:t>
                    </a:fld>
                    <a:r>
                      <a:rPr lang="en-US" baseline="0">
                        <a:solidFill>
                          <a:srgbClr val="FFC000"/>
                        </a:solidFill>
                      </a:rPr>
                      <a:t>
</a:t>
                    </a:r>
                    <a:fld id="{84D4767A-49A3-4DEF-B12F-86640B766209}" type="PERCENTAGE">
                      <a:rPr lang="en-US" baseline="0">
                        <a:solidFill>
                          <a:srgbClr val="FFC000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rgbClr val="FFC000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8E9-4595-8E18-E3D3D7BA1BB5}"/>
                </c:ext>
                <c:ext xmlns:c15="http://schemas.microsoft.com/office/drawing/2012/chart" uri="{CE6537A1-D6FC-4f65-9D91-7224C49458BB}">
                  <c15:layout>
                    <c:manualLayout>
                      <c:w val="0.22261574074074075"/>
                      <c:h val="0.12540373336523819"/>
                    </c:manualLayout>
                  </c15:layout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Very necessary and needs immediate action</c:v>
                </c:pt>
                <c:pt idx="1">
                  <c:v>Not necessary at all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2537</c:v>
                </c:pt>
                <c:pt idx="1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E9-4595-8E18-E3D3D7BA1BB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Bright Attatsi</dc:creator>
  <cp:keywords/>
  <dc:description/>
  <cp:lastModifiedBy>AGBONI</cp:lastModifiedBy>
  <cp:revision>6</cp:revision>
  <cp:lastPrinted>2020-04-05T14:52:00Z</cp:lastPrinted>
  <dcterms:created xsi:type="dcterms:W3CDTF">2020-04-09T19:45:00Z</dcterms:created>
  <dcterms:modified xsi:type="dcterms:W3CDTF">2020-04-10T18:08:00Z</dcterms:modified>
</cp:coreProperties>
</file>